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5"/>
        <w:jc w:val="both"/>
        <w:spacing w:after="0" w:line="240" w:lineRule="auto"/>
      </w:pPr>
      <w:r/>
      <w:r/>
    </w:p>
    <w:p>
      <w:pPr>
        <w:pStyle w:val="665"/>
        <w:jc w:val="both"/>
        <w:spacing w:after="0" w:line="240" w:lineRule="auto"/>
      </w:pPr>
      <w:r/>
      <w:r/>
    </w:p>
    <w:p>
      <w:pPr>
        <w:pStyle w:val="665"/>
        <w:jc w:val="both"/>
        <w:spacing w:after="0" w:line="240" w:lineRule="auto"/>
      </w:pPr>
      <w:r/>
      <w:r/>
    </w:p>
    <w:p>
      <w:pPr>
        <w:pStyle w:val="665"/>
        <w:jc w:val="both"/>
        <w:spacing w:after="0" w:line="240" w:lineRule="auto"/>
      </w:pPr>
      <w:r/>
      <w:r/>
    </w:p>
    <w:p>
      <w:pPr>
        <w:pStyle w:val="665"/>
        <w:jc w:val="both"/>
        <w:spacing w:after="0" w:line="240" w:lineRule="auto"/>
      </w:pPr>
      <w:r/>
      <w:r/>
    </w:p>
    <w:p>
      <w:pPr>
        <w:pStyle w:val="665"/>
        <w:jc w:val="both"/>
        <w:spacing w:after="0" w:line="240" w:lineRule="auto"/>
      </w:pPr>
      <w:r/>
      <w:r/>
    </w:p>
    <w:p>
      <w:pPr>
        <w:pStyle w:val="665"/>
        <w:jc w:val="both"/>
        <w:spacing w:after="0" w:line="240" w:lineRule="auto"/>
      </w:pPr>
      <w:r/>
      <w:r/>
    </w:p>
    <w:p>
      <w:pPr>
        <w:pStyle w:val="665"/>
        <w:jc w:val="both"/>
        <w:spacing w:after="0" w:line="240" w:lineRule="auto"/>
      </w:pPr>
      <w:r/>
      <w:r/>
    </w:p>
    <w:p>
      <w:pPr>
        <w:pStyle w:val="665"/>
        <w:jc w:val="both"/>
        <w:spacing w:after="0" w:line="240" w:lineRule="auto"/>
      </w:pPr>
      <w:r/>
      <w:r/>
    </w:p>
    <w:p>
      <w:pPr>
        <w:pStyle w:val="665"/>
        <w:jc w:val="both"/>
        <w:spacing w:after="0" w:line="240" w:lineRule="auto"/>
      </w:pPr>
      <w:r/>
      <w:r/>
    </w:p>
    <w:p>
      <w:pPr>
        <w:pStyle w:val="665"/>
        <w:jc w:val="both"/>
        <w:spacing w:after="0" w:line="240" w:lineRule="auto"/>
      </w:pPr>
      <w:r/>
      <w:r/>
    </w:p>
    <w:p>
      <w:pPr>
        <w:pStyle w:val="665"/>
        <w:jc w:val="both"/>
        <w:spacing w:after="0" w:line="240" w:lineRule="auto"/>
      </w:pPr>
      <w:r/>
      <w:r/>
    </w:p>
    <w:p>
      <w:pPr>
        <w:pStyle w:val="665"/>
        <w:jc w:val="both"/>
        <w:spacing w:after="0" w:line="240" w:lineRule="auto"/>
      </w:pPr>
      <w:r/>
      <w:r/>
    </w:p>
    <w:p>
      <w:pPr>
        <w:pStyle w:val="665"/>
        <w:jc w:val="both"/>
        <w:spacing w:after="0" w:line="240" w:lineRule="auto"/>
      </w:pPr>
      <w:r/>
      <w:r/>
    </w:p>
    <w:p>
      <w:pPr>
        <w:pStyle w:val="665"/>
        <w:jc w:val="both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6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</w:t>
      </w:r>
      <w:r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дополнения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состав Межведомственной комиссии по проведению административной реформы и повышению качества и доступности предоставления государственных (муниципальных) услуг в Еврейской автономной области, утвержденный </w:t>
      </w: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губернатора Ев</w:t>
      </w:r>
      <w:r>
        <w:rPr>
          <w:rFonts w:ascii="Times New Roman" w:hAnsi="Times New Roman"/>
          <w:sz w:val="28"/>
          <w:szCs w:val="28"/>
        </w:rPr>
        <w:t xml:space="preserve">рейской автономной области от 10</w:t>
      </w:r>
      <w:r>
        <w:rPr>
          <w:rFonts w:ascii="Times New Roman" w:hAnsi="Times New Roman"/>
          <w:sz w:val="28"/>
          <w:szCs w:val="28"/>
        </w:rPr>
        <w:t xml:space="preserve">.0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.201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175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Межведомственной комиссии по проведению административной реформы и повышению качества и доступности предоставления государственных (муниципальных) услуг в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»</w:t>
      </w:r>
      <w:r/>
    </w:p>
    <w:p>
      <w:pPr>
        <w:pStyle w:val="66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6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65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ПОСТАНОВЛЯЮ:</w:t>
      </w:r>
      <w:r/>
    </w:p>
    <w:p>
      <w:pPr>
        <w:pStyle w:val="665"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 Межведомственной комиссии по проведению административной реформы и повышению качества и доступности предоставления государственных (муниципальных) услуг в Еврейской автономной области, утвержденный постановл</w:t>
      </w:r>
      <w:r>
        <w:rPr>
          <w:rFonts w:ascii="Times New Roman" w:hAnsi="Times New Roman"/>
          <w:sz w:val="28"/>
          <w:szCs w:val="28"/>
        </w:rPr>
        <w:t xml:space="preserve">ением губернатора Еврейской автономной области от 10.07.2018 № 175 «О Межведомственной комиссии по проведению административной реформы и повышению качества и доступности предоставления государственных (муниципальных) услуг в Еврейской автономной области», </w:t>
      </w:r>
      <w:r>
        <w:rPr>
          <w:rFonts w:ascii="Times New Roman" w:hAnsi="Times New Roman"/>
          <w:sz w:val="28"/>
          <w:szCs w:val="28"/>
        </w:rPr>
        <w:t xml:space="preserve">следующ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и дополнение</w:t>
      </w:r>
      <w:r>
        <w:rPr>
          <w:rFonts w:ascii="Times New Roman" w:hAnsi="Times New Roman"/>
          <w:sz w:val="28"/>
          <w:szCs w:val="28"/>
        </w:rPr>
        <w:t xml:space="preserve">:</w:t>
      </w:r>
      <w:r/>
    </w:p>
    <w:p>
      <w:pPr>
        <w:pStyle w:val="665"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дополнить абзацем пятым следующего содержания</w:t>
      </w:r>
      <w:r>
        <w:rPr>
          <w:rFonts w:ascii="Times New Roman" w:hAnsi="Times New Roman"/>
          <w:sz w:val="28"/>
          <w:szCs w:val="28"/>
        </w:rPr>
        <w:t xml:space="preserve">:</w:t>
      </w:r>
      <w:r/>
    </w:p>
    <w:p>
      <w:pPr>
        <w:pStyle w:val="665"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- заместитель председателя правительства </w:t>
      </w:r>
      <w:r>
        <w:rPr>
          <w:rFonts w:ascii="Times New Roman" w:hAnsi="Times New Roman"/>
          <w:sz w:val="28"/>
          <w:szCs w:val="28"/>
        </w:rPr>
        <w:t xml:space="preserve">Еврейской автономной области по вопросам агропромышленного комплекса</w:t>
      </w:r>
      <w:r>
        <w:rPr>
          <w:rFonts w:ascii="Times New Roman" w:hAnsi="Times New Roman"/>
          <w:sz w:val="28"/>
          <w:szCs w:val="28"/>
        </w:rPr>
        <w:t xml:space="preserve">, природопользования и цифровизации;</w:t>
      </w:r>
      <w:r>
        <w:rPr>
          <w:rFonts w:ascii="Times New Roman" w:hAnsi="Times New Roman"/>
          <w:sz w:val="28"/>
          <w:szCs w:val="28"/>
        </w:rPr>
        <w:t xml:space="preserve">»;</w:t>
      </w:r>
      <w:r/>
    </w:p>
    <w:p>
      <w:pPr>
        <w:pStyle w:val="665"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 абзаце восьмом слова «, определенный председателем комиссии» исключить;</w:t>
      </w:r>
      <w:r/>
    </w:p>
    <w:p>
      <w:pPr>
        <w:pStyle w:val="665"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абзац десятый изложить в следующей редакции:</w:t>
      </w:r>
      <w:r/>
    </w:p>
    <w:p>
      <w:pPr>
        <w:pStyle w:val="665"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«- начальник </w:t>
      </w:r>
      <w:r>
        <w:rPr>
          <w:rFonts w:ascii="Times New Roman" w:hAnsi="Times New Roman"/>
          <w:sz w:val="28"/>
          <w:szCs w:val="28"/>
        </w:rPr>
        <w:t xml:space="preserve">управления по административной реформе аппарата губернатора и правительства Еврейской автономной области, а в его отсутствие – заместитель начальника управления по административной реформе аппарата губернатора и правительства Еврейской автономной области;»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65"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подписания.</w:t>
      </w:r>
      <w:r/>
    </w:p>
    <w:p>
      <w:pPr>
        <w:pStyle w:val="66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6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6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6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убернатор области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  <w:tab/>
        <w:tab/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Р.Э. Голь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штейн</w:t>
      </w:r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5" w:h="16838" w:orient="portrait"/>
      <w:pgMar w:top="1134" w:right="850" w:bottom="851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67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5"/>
    <w:next w:val="66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5"/>
    <w:next w:val="665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5"/>
    <w:next w:val="66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5"/>
    <w:next w:val="66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5"/>
    <w:next w:val="66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5"/>
    <w:next w:val="66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5"/>
    <w:next w:val="66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5"/>
    <w:next w:val="66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5"/>
    <w:next w:val="66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5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5"/>
    <w:next w:val="66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65"/>
    <w:next w:val="66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65"/>
    <w:next w:val="66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5"/>
    <w:next w:val="66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65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6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65"/>
    <w:next w:val="66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5"/>
    <w:next w:val="66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5"/>
    <w:next w:val="66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5"/>
    <w:next w:val="66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5"/>
    <w:next w:val="66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5"/>
    <w:next w:val="66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5"/>
    <w:next w:val="66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5"/>
    <w:next w:val="66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5"/>
    <w:next w:val="66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5"/>
    <w:next w:val="665"/>
    <w:uiPriority w:val="99"/>
    <w:unhideWhenUsed/>
    <w:pPr>
      <w:spacing w:after="0" w:afterAutospacing="0"/>
    </w:pPr>
  </w:style>
  <w:style w:type="paragraph" w:styleId="665" w:default="1">
    <w:name w:val="Normal"/>
    <w:next w:val="665"/>
    <w:link w:val="665"/>
    <w:qFormat/>
    <w:pPr>
      <w:spacing w:after="200" w:line="276" w:lineRule="auto"/>
    </w:pPr>
    <w:rPr>
      <w:rFonts w:cs="Times New Roman"/>
      <w:sz w:val="22"/>
      <w:szCs w:val="22"/>
      <w:lang w:val="ru-RU" w:eastAsia="en-US" w:bidi="ar-SA"/>
    </w:rPr>
  </w:style>
  <w:style w:type="character" w:styleId="666">
    <w:name w:val="Основной шрифт абзаца"/>
    <w:next w:val="666"/>
    <w:link w:val="665"/>
    <w:uiPriority w:val="1"/>
    <w:semiHidden/>
    <w:unhideWhenUsed/>
  </w:style>
  <w:style w:type="table" w:styleId="667">
    <w:name w:val="Обычная таблица"/>
    <w:next w:val="667"/>
    <w:link w:val="665"/>
    <w:uiPriority w:val="99"/>
    <w:semiHidden/>
    <w:unhideWhenUsed/>
    <w:qFormat/>
    <w:tblPr/>
  </w:style>
  <w:style w:type="numbering" w:styleId="668">
    <w:name w:val="Нет списка"/>
    <w:next w:val="668"/>
    <w:link w:val="665"/>
    <w:uiPriority w:val="99"/>
    <w:semiHidden/>
    <w:unhideWhenUsed/>
  </w:style>
  <w:style w:type="paragraph" w:styleId="669">
    <w:name w:val="Абзац списка"/>
    <w:basedOn w:val="665"/>
    <w:next w:val="669"/>
    <w:link w:val="665"/>
    <w:uiPriority w:val="34"/>
    <w:qFormat/>
    <w:pPr>
      <w:contextualSpacing/>
      <w:ind w:left="720"/>
    </w:pPr>
  </w:style>
  <w:style w:type="paragraph" w:styleId="670">
    <w:name w:val="Верхний колонтитул"/>
    <w:basedOn w:val="665"/>
    <w:next w:val="670"/>
    <w:link w:val="6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671">
    <w:name w:val="Верхний колонтитул Знак"/>
    <w:next w:val="671"/>
    <w:link w:val="670"/>
    <w:uiPriority w:val="99"/>
    <w:rPr>
      <w:rFonts w:cs="Times New Roman"/>
    </w:rPr>
  </w:style>
  <w:style w:type="paragraph" w:styleId="672">
    <w:name w:val="Нижний колонтитул"/>
    <w:basedOn w:val="665"/>
    <w:next w:val="672"/>
    <w:link w:val="673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673">
    <w:name w:val="Нижний колонтитул Знак"/>
    <w:next w:val="673"/>
    <w:link w:val="672"/>
    <w:uiPriority w:val="99"/>
    <w:semiHidden/>
    <w:rPr>
      <w:rFonts w:cs="Times New Roman"/>
    </w:rPr>
  </w:style>
  <w:style w:type="paragraph" w:styleId="674">
    <w:name w:val="ConsPlusTitle"/>
    <w:next w:val="674"/>
    <w:link w:val="665"/>
    <w:pPr>
      <w:widowControl w:val="off"/>
    </w:pPr>
    <w:rPr>
      <w:rFonts w:ascii="Times New Roman" w:hAnsi="Times New Roman" w:cs="Times New Roman"/>
      <w:b/>
      <w:bCs/>
      <w:sz w:val="24"/>
      <w:szCs w:val="24"/>
      <w:lang w:val="ru-RU" w:eastAsia="ru-RU" w:bidi="ar-SA"/>
    </w:rPr>
  </w:style>
  <w:style w:type="paragraph" w:styleId="675">
    <w:name w:val="ConsPlusNormal"/>
    <w:next w:val="675"/>
    <w:link w:val="665"/>
    <w:rPr>
      <w:rFonts w:ascii="Times New Roman" w:hAnsi="Times New Roman" w:cs="Times New Roman"/>
      <w:sz w:val="28"/>
      <w:szCs w:val="28"/>
      <w:lang w:val="ru-RU" w:eastAsia="ru-RU" w:bidi="ar-SA"/>
    </w:rPr>
  </w:style>
  <w:style w:type="character" w:styleId="836" w:default="1">
    <w:name w:val="Default Paragraph Font"/>
    <w:uiPriority w:val="1"/>
    <w:semiHidden/>
    <w:unhideWhenUsed/>
  </w:style>
  <w:style w:type="numbering" w:styleId="837" w:default="1">
    <w:name w:val="No List"/>
    <w:uiPriority w:val="99"/>
    <w:semiHidden/>
    <w:unhideWhenUsed/>
  </w:style>
  <w:style w:type="table" w:styleId="83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Аппарат губернатора ЕАО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adm_220-1</dc:creator>
  <cp:revision>5</cp:revision>
  <dcterms:created xsi:type="dcterms:W3CDTF">2023-04-21T02:31:00Z</dcterms:created>
  <dcterms:modified xsi:type="dcterms:W3CDTF">2023-04-26T02:24:17Z</dcterms:modified>
  <cp:version>917504</cp:version>
</cp:coreProperties>
</file>